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4424" w14:textId="77777777" w:rsidR="003F6D2B" w:rsidRPr="002436BC" w:rsidRDefault="003F6D2B" w:rsidP="003F6D2B">
      <w:pPr>
        <w:pStyle w:val="Odstavekseznama"/>
        <w:widowControl/>
        <w:suppressAutoHyphens w:val="0"/>
        <w:spacing w:after="1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IZJAVA O ZAUPNOSTI</w:t>
      </w:r>
    </w:p>
    <w:p w14:paraId="69F4F7DC" w14:textId="77777777" w:rsidR="003F6D2B" w:rsidRPr="002436BC" w:rsidRDefault="003F6D2B" w:rsidP="003F6D2B">
      <w:pPr>
        <w:pStyle w:val="Odstavekseznama"/>
        <w:widowControl/>
        <w:suppressAutoHyphens w:val="0"/>
        <w:spacing w:after="1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D5AA81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Skladno z določbami Zakona o izvensodnem reševanju sporov (Uradni list RS, št. 81/15) in  temi Pravili so vsi podatki, ki izvirajo iz postopka izvensodnega reševanja potrošniških sporov ali so z njim povezani, zaupne narave razen, če so se stranke sporazumele drugače, če njihovo razkritje zahteva zakon ali če je razkritje potrebno za izpolnitev ali prisilno izvršitev sporazuma o rešitvi spora.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20FB132C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Stranke in oseba, ki vodi postopek IRPS, in tretje osebe, ki so sodelovale pri postopku IRPS ali mediaciji se v arbitražnem, sodnem ali drugem podobnem postopku ne smejo sklicevati na oziroma predložiti kot dokaz ali pričati o:</w:t>
      </w:r>
    </w:p>
    <w:p w14:paraId="5B1B3FA5" w14:textId="77777777" w:rsidR="003F6D2B" w:rsidRPr="002436BC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vabilu stranke k postopku IRPS ali dejstvu, da je bila stranka pripravljena sodelovati v postopku IRPS,</w:t>
      </w:r>
    </w:p>
    <w:p w14:paraId="3F6593C7" w14:textId="77777777" w:rsidR="003F6D2B" w:rsidRPr="002436BC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mnenjih in predlogih glede možne rešitve spora, ki so jih stranke izrazile med postopkom IRPS,</w:t>
      </w:r>
    </w:p>
    <w:p w14:paraId="36E31648" w14:textId="77777777" w:rsidR="003F6D2B" w:rsidRPr="002436BC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 xml:space="preserve">izjavah ali priznanjih dejstev, ki so jih stranke dale med postopkom IRPS, </w:t>
      </w:r>
    </w:p>
    <w:p w14:paraId="40DA8B98" w14:textId="77777777" w:rsidR="003F6D2B" w:rsidRPr="002436BC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predlogih osebe, ki vodi postopek IRPS,</w:t>
      </w:r>
    </w:p>
    <w:p w14:paraId="1B2A0BFB" w14:textId="77777777" w:rsidR="003F6D2B" w:rsidRPr="002436BC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dejstvu, da je stranka pokazala pripravljenost sprejeti predlog osebe, ki vodi postopek IRPS, za mirno rešitev spora,</w:t>
      </w:r>
    </w:p>
    <w:p w14:paraId="371A53C8" w14:textId="77777777" w:rsidR="003F6D2B" w:rsidRPr="00B11788" w:rsidRDefault="003F6D2B" w:rsidP="003F6D2B">
      <w:pPr>
        <w:pStyle w:val="Odstavekseznama"/>
        <w:widowControl/>
        <w:numPr>
          <w:ilvl w:val="0"/>
          <w:numId w:val="1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listinah, pripravljenih izključno za potrebe postopka IRPS.</w:t>
      </w:r>
    </w:p>
    <w:p w14:paraId="080CF0F5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Določba iz druge točke te izjave velja ne glede na obliko podatkov in dokazov.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3849D8D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Podatki iz prve točke se</w:t>
      </w:r>
      <w:r w:rsidRPr="002436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t>pred arbitražo, sodiščem ali drugim državnim organom lahko razkrijejo ali uporabijo v dokazne namene samo pod pogoji in v obsegu, ki ga zahteva zakon, zlasti zaradi razlogov javnega reda ali kolikor je potrebno za izpolnitev ali prisilno izvršitev sporazuma o rešitvi spora, sicer pa takšni podatki predstavljajo nedopustno dejstvo ali dokaz.</w:t>
      </w:r>
    </w:p>
    <w:p w14:paraId="419D0D0E" w14:textId="77777777" w:rsidR="003F6D2B" w:rsidRPr="002436BC" w:rsidRDefault="003F6D2B" w:rsidP="003F6D2B">
      <w:pPr>
        <w:pStyle w:val="Odstavekseznama"/>
        <w:widowControl/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10A9C0A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2436BC">
        <w:rPr>
          <w:rFonts w:asciiTheme="minorHAnsi" w:hAnsiTheme="minorHAnsi" w:cstheme="minorHAnsi"/>
          <w:sz w:val="22"/>
          <w:szCs w:val="22"/>
        </w:rPr>
        <w:t>Določbe prve, druge in tretje točke te izjave se uporabljajo ne glede na to, ali je arbitražni, sodni ali drug podoben postopek povezan s sporom, glede katerega je potekala ali poteka postopek IRPS.</w:t>
      </w:r>
    </w:p>
    <w:p w14:paraId="4F111030" w14:textId="77777777" w:rsidR="003F6D2B" w:rsidRPr="002436BC" w:rsidRDefault="003F6D2B" w:rsidP="003F6D2B">
      <w:pPr>
        <w:pStyle w:val="Odstavekseznama"/>
        <w:widowControl/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A6D222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>Razen v primerih iz prve točke te izjave, dokazi, ki so sicer dopustni v arbitražnem, sodnem ali drugem podobnem postopku, ne postanejo nedopustni samo zato, ker so bili uporabljeni v postopku IRPS.</w:t>
      </w:r>
    </w:p>
    <w:p w14:paraId="06D8543F" w14:textId="77777777" w:rsidR="003F6D2B" w:rsidRPr="002436BC" w:rsidRDefault="003F6D2B" w:rsidP="003F6D2B">
      <w:pPr>
        <w:pStyle w:val="Odstavekseznama"/>
        <w:widowControl/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4ABF6" w14:textId="77777777" w:rsidR="003F6D2B" w:rsidRPr="002436BC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 xml:space="preserve">S podpisom te izjave se vse stranke, izvajalec IRPS, </w:t>
      </w:r>
      <w:r w:rsidRPr="002436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sl-SI" w:bidi="ar-SA"/>
        </w:rPr>
        <w:t>oseba, ki vodi postopek IRPS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t>, zakoniti zastopniki, pooblaščenci, svetovalci, izvedenci in drugi udeleženci postopka IRPS zavezujejo spoštovati vse navedeno.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DE5C33F" w14:textId="77777777" w:rsidR="003F6D2B" w:rsidRPr="00B11788" w:rsidRDefault="003F6D2B" w:rsidP="003F6D2B">
      <w:pPr>
        <w:pStyle w:val="Odstavekseznama"/>
        <w:widowControl/>
        <w:numPr>
          <w:ilvl w:val="0"/>
          <w:numId w:val="2"/>
        </w:numPr>
        <w:suppressAutoHyphens w:val="0"/>
        <w:spacing w:after="1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36BC">
        <w:rPr>
          <w:rFonts w:asciiTheme="minorHAnsi" w:hAnsiTheme="minorHAnsi" w:cstheme="minorHAnsi"/>
          <w:color w:val="000000"/>
          <w:sz w:val="22"/>
          <w:szCs w:val="22"/>
        </w:rPr>
        <w:t xml:space="preserve">Stranke se tudi izrecno zavezujejo, da ne bodo predlagali </w:t>
      </w:r>
      <w:r w:rsidRPr="002436BC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sl-SI" w:bidi="ar-SA"/>
        </w:rPr>
        <w:t>osebe, ki vodi postopek IRPS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t>, za pričo v sodnem postopku, postopku arbitraže ali v postopku pred drugim organom.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  <w:t>Datum: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436BC">
        <w:rPr>
          <w:rFonts w:asciiTheme="minorHAnsi" w:hAnsiTheme="minorHAnsi" w:cstheme="minorHAnsi"/>
          <w:color w:val="000000"/>
          <w:sz w:val="22"/>
          <w:szCs w:val="22"/>
        </w:rPr>
        <w:br/>
        <w:t>Podpisi: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2337DD" w14:textId="77777777" w:rsidR="00A0782F" w:rsidRDefault="00A0782F"/>
    <w:sectPr w:rsidR="00A0782F">
      <w:headerReference w:type="default" r:id="rId5"/>
      <w:footerReference w:type="default" r:id="rId6"/>
      <w:pgSz w:w="11906" w:h="16838"/>
      <w:pgMar w:top="1134" w:right="1134" w:bottom="1698" w:left="1134" w:header="70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6F48" w14:textId="77777777" w:rsidR="00501BD4" w:rsidRDefault="00000000" w:rsidP="00476605">
    <w:pPr>
      <w:pStyle w:val="Glava"/>
      <w:pBdr>
        <w:bottom w:val="single" w:sz="12" w:space="1" w:color="auto"/>
      </w:pBdr>
      <w:jc w:val="center"/>
      <w:rPr>
        <w:rFonts w:ascii="Calibri" w:hAnsi="Calibri" w:cs="Calibri"/>
        <w:sz w:val="18"/>
        <w:szCs w:val="18"/>
        <w:lang w:val="sl-SI"/>
      </w:rPr>
    </w:pPr>
  </w:p>
  <w:p w14:paraId="1C9BF460" w14:textId="77777777" w:rsidR="00501BD4" w:rsidRPr="009263EB" w:rsidRDefault="00000000" w:rsidP="00476605">
    <w:pPr>
      <w:pStyle w:val="Glava"/>
      <w:jc w:val="center"/>
      <w:rPr>
        <w:rFonts w:ascii="Calibri" w:hAnsi="Calibri" w:cs="Calibri"/>
        <w:sz w:val="18"/>
        <w:szCs w:val="18"/>
        <w:lang w:val="sl-SI"/>
      </w:rPr>
    </w:pPr>
  </w:p>
  <w:p w14:paraId="25FACAD6" w14:textId="77777777" w:rsidR="00501BD4" w:rsidRPr="00D84C26" w:rsidRDefault="00000000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Odvetniška družba Weber </w:t>
    </w:r>
    <w:proofErr w:type="spellStart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o.p</w:t>
    </w:r>
    <w:proofErr w:type="spellEnd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. – </w:t>
    </w:r>
    <w:proofErr w:type="spellStart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d.o.o</w:t>
    </w:r>
    <w:proofErr w:type="spellEnd"/>
    <w:r w:rsidRPr="00D84C26">
      <w:rPr>
        <w:rFonts w:asciiTheme="minorHAnsi" w:hAnsiTheme="minorHAnsi" w:cstheme="minorHAnsi"/>
        <w:color w:val="000000" w:themeColor="text1"/>
        <w:sz w:val="18"/>
        <w:szCs w:val="18"/>
      </w:rPr>
      <w:t>.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Pod hribom 55, Ljubljana</w:t>
    </w:r>
  </w:p>
  <w:p w14:paraId="214443EB" w14:textId="77777777" w:rsidR="00501BD4" w:rsidRPr="00D84C26" w:rsidRDefault="00000000" w:rsidP="00476605">
    <w:pPr>
      <w:pStyle w:val="Glava"/>
      <w:tabs>
        <w:tab w:val="clear" w:pos="4536"/>
        <w:tab w:val="clear" w:pos="9072"/>
        <w:tab w:val="center" w:pos="4819"/>
      </w:tabs>
      <w:jc w:val="center"/>
      <w:rPr>
        <w:rFonts w:asciiTheme="minorHAnsi" w:hAnsiTheme="minorHAnsi" w:cstheme="minorHAnsi"/>
        <w:color w:val="000000" w:themeColor="text1"/>
        <w:sz w:val="18"/>
        <w:szCs w:val="18"/>
        <w:lang w:val="sl-SI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E-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naslov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odvetnica@drweber.si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GSM: 040 251 002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tel.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01 320 0004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faks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01 320 0005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 xml:space="preserve">, spletna stran: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www.drweber.si</w:t>
    </w:r>
  </w:p>
  <w:p w14:paraId="52EE4F7C" w14:textId="77777777" w:rsidR="00501BD4" w:rsidRPr="00D84C26" w:rsidRDefault="00000000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</w:p>
  <w:p w14:paraId="1B6C1BF8" w14:textId="77777777" w:rsidR="00501BD4" w:rsidRPr="00D84C26" w:rsidRDefault="00000000" w:rsidP="00476605">
    <w:pPr>
      <w:pStyle w:val="Glava"/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Matična št.: 8049033000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, Id za DDV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: SI33970114</w:t>
    </w:r>
  </w:p>
  <w:p w14:paraId="1D79BD5B" w14:textId="77777777" w:rsidR="00501BD4" w:rsidRPr="00900D81" w:rsidRDefault="00000000" w:rsidP="00476605">
    <w:pPr>
      <w:pStyle w:val="Glava"/>
      <w:jc w:val="center"/>
      <w:rPr>
        <w:rFonts w:ascii="Calibri" w:hAnsi="Calibri" w:cs="Calibri"/>
        <w:sz w:val="18"/>
        <w:szCs w:val="18"/>
      </w:rPr>
    </w:pPr>
    <w:r w:rsidRPr="00D84C26">
      <w:rPr>
        <w:rFonts w:asciiTheme="minorHAnsi" w:hAnsiTheme="minorHAnsi" w:cstheme="minorHAnsi"/>
        <w:color w:val="000000" w:themeColor="text1"/>
        <w:sz w:val="18"/>
        <w:szCs w:val="18"/>
      </w:rPr>
      <w:t>Transakcijska račun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a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: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0796 919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,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IBAN SI56 0310 4100 0797 016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(F), odprt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a</w:t>
    </w:r>
    <w:r w:rsidRPr="00D84C26">
      <w:rPr>
        <w:rFonts w:asciiTheme="minorHAnsi" w:hAnsiTheme="minorHAnsi" w:cstheme="minorHAnsi"/>
        <w:color w:val="000000" w:themeColor="text1"/>
        <w:sz w:val="18"/>
        <w:szCs w:val="18"/>
      </w:rPr>
      <w:t xml:space="preserve"> pri </w:t>
    </w:r>
    <w:r w:rsidRPr="00D84C26">
      <w:rPr>
        <w:rFonts w:asciiTheme="minorHAnsi" w:hAnsiTheme="minorHAnsi" w:cstheme="minorHAnsi"/>
        <w:color w:val="000000" w:themeColor="text1"/>
        <w:sz w:val="18"/>
        <w:szCs w:val="18"/>
        <w:lang w:val="sl-SI"/>
      </w:rPr>
      <w:t>SKB, d. d</w:t>
    </w:r>
    <w:r w:rsidRPr="00900D81">
      <w:rPr>
        <w:rFonts w:ascii="Calibri" w:hAnsi="Calibri" w:cs="Calibri"/>
        <w:sz w:val="18"/>
        <w:szCs w:val="18"/>
        <w:lang w:val="sl-SI"/>
      </w:rPr>
      <w:t>.</w:t>
    </w:r>
  </w:p>
  <w:p w14:paraId="626211BD" w14:textId="77777777" w:rsidR="00501BD4" w:rsidRPr="00CD4E80" w:rsidRDefault="00000000" w:rsidP="00476605">
    <w:pPr>
      <w:pStyle w:val="Noga"/>
      <w:jc w:val="right"/>
      <w:rPr>
        <w:rFonts w:ascii="Calibri" w:hAnsi="Calibri"/>
        <w:sz w:val="22"/>
        <w:szCs w:val="22"/>
      </w:rPr>
    </w:pP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PAGE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  <w:r w:rsidRPr="00CD4E80">
      <w:rPr>
        <w:rFonts w:ascii="Calibri" w:eastAsia="Liberation Serif" w:hAnsi="Calibri" w:cs="Liberation Serif"/>
        <w:sz w:val="22"/>
        <w:szCs w:val="22"/>
      </w:rPr>
      <w:t xml:space="preserve"> </w:t>
    </w:r>
    <w:r w:rsidRPr="00CD4E80">
      <w:rPr>
        <w:rFonts w:ascii="Calibri" w:hAnsi="Calibri"/>
        <w:sz w:val="22"/>
        <w:szCs w:val="22"/>
      </w:rPr>
      <w:t xml:space="preserve">od </w:t>
    </w:r>
    <w:r w:rsidRPr="00CD4E80">
      <w:rPr>
        <w:rFonts w:ascii="Calibri" w:hAnsi="Calibri"/>
        <w:sz w:val="22"/>
        <w:szCs w:val="22"/>
      </w:rPr>
      <w:fldChar w:fldCharType="begin"/>
    </w:r>
    <w:r w:rsidRPr="00CD4E80">
      <w:rPr>
        <w:rFonts w:ascii="Calibri" w:hAnsi="Calibri"/>
        <w:sz w:val="22"/>
        <w:szCs w:val="22"/>
      </w:rPr>
      <w:instrText xml:space="preserve"> NUMPAGES \*Arabic </w:instrText>
    </w:r>
    <w:r w:rsidRPr="00CD4E80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CD4E80">
      <w:rPr>
        <w:rFonts w:ascii="Calibri" w:hAnsi="Calibri"/>
        <w:sz w:val="22"/>
        <w:szCs w:val="22"/>
      </w:rPr>
      <w:fldChar w:fldCharType="end"/>
    </w:r>
  </w:p>
  <w:p w14:paraId="674F7D03" w14:textId="77777777" w:rsidR="00501BD4" w:rsidRPr="00114699" w:rsidRDefault="00000000" w:rsidP="00476605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1A4" w14:textId="77777777" w:rsidR="00501BD4" w:rsidRPr="00A305C5" w:rsidRDefault="00000000" w:rsidP="00476605">
    <w:pPr>
      <w:pStyle w:val="Glava"/>
      <w:jc w:val="center"/>
    </w:pPr>
    <w:r w:rsidRPr="00191069">
      <w:rPr>
        <w:noProof/>
        <w:lang w:val="sl-SI" w:eastAsia="sl-SI" w:bidi="ar-SA"/>
      </w:rPr>
      <w:drawing>
        <wp:inline distT="0" distB="0" distL="0" distR="0" wp14:anchorId="7D15628B" wp14:editId="38727B4A">
          <wp:extent cx="2179320" cy="769620"/>
          <wp:effectExtent l="0" t="0" r="0" b="0"/>
          <wp:docPr id="5" name="Slika 5" descr="Logotip Web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 Web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1B9F"/>
    <w:multiLevelType w:val="hybridMultilevel"/>
    <w:tmpl w:val="841C919C"/>
    <w:lvl w:ilvl="0" w:tplc="FD403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0599"/>
    <w:multiLevelType w:val="hybridMultilevel"/>
    <w:tmpl w:val="B6709AFE"/>
    <w:lvl w:ilvl="0" w:tplc="C4B845CE">
      <w:numFmt w:val="bullet"/>
      <w:lvlText w:val="-"/>
      <w:lvlJc w:val="righ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1942444">
    <w:abstractNumId w:val="1"/>
  </w:num>
  <w:num w:numId="2" w16cid:durableId="28161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2B"/>
    <w:rsid w:val="003F6D2B"/>
    <w:rsid w:val="006046BF"/>
    <w:rsid w:val="007D1FB4"/>
    <w:rsid w:val="00926792"/>
    <w:rsid w:val="00A0782F"/>
    <w:rsid w:val="00CC6605"/>
    <w:rsid w:val="00F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C102"/>
  <w15:chartTrackingRefBased/>
  <w15:docId w15:val="{E148C4AF-FF47-48BE-A206-77771750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6D2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F6D2B"/>
    <w:pPr>
      <w:suppressLineNumbers/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rsid w:val="003F6D2B"/>
    <w:rPr>
      <w:rFonts w:ascii="Liberation Serif" w:eastAsia="DejaVu Sans" w:hAnsi="Liberation Serif" w:cs="DejaVu Sans"/>
      <w:kern w:val="1"/>
      <w:sz w:val="24"/>
      <w:szCs w:val="24"/>
      <w:lang w:eastAsia="zh-CN" w:bidi="hi-IN"/>
      <w14:ligatures w14:val="none"/>
    </w:rPr>
  </w:style>
  <w:style w:type="paragraph" w:styleId="Glava">
    <w:name w:val="header"/>
    <w:basedOn w:val="Navaden"/>
    <w:link w:val="GlavaZnak"/>
    <w:uiPriority w:val="99"/>
    <w:unhideWhenUsed/>
    <w:rsid w:val="003F6D2B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3F6D2B"/>
    <w:rPr>
      <w:rFonts w:ascii="Liberation Serif" w:eastAsia="DejaVu Sans" w:hAnsi="Liberation Serif" w:cs="Mangal"/>
      <w:kern w:val="1"/>
      <w:sz w:val="24"/>
      <w:szCs w:val="21"/>
      <w:lang w:val="x-none" w:eastAsia="zh-CN" w:bidi="hi-IN"/>
      <w14:ligatures w14:val="none"/>
    </w:rPr>
  </w:style>
  <w:style w:type="paragraph" w:styleId="Odstavekseznama">
    <w:name w:val="List Paragraph"/>
    <w:basedOn w:val="Navaden"/>
    <w:qFormat/>
    <w:rsid w:val="003F6D2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 Intihar</dc:creator>
  <cp:keywords/>
  <dc:description/>
  <cp:lastModifiedBy>Neja Intihar</cp:lastModifiedBy>
  <cp:revision>1</cp:revision>
  <dcterms:created xsi:type="dcterms:W3CDTF">2023-04-12T10:42:00Z</dcterms:created>
  <dcterms:modified xsi:type="dcterms:W3CDTF">2023-04-12T10:43:00Z</dcterms:modified>
</cp:coreProperties>
</file>